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B72E" w14:textId="77777777" w:rsidR="00FF635B" w:rsidRDefault="00A802F1">
      <w:pPr>
        <w:pStyle w:val="Heading1"/>
        <w:rPr>
          <w:sz w:val="32"/>
          <w:szCs w:val="32"/>
        </w:rPr>
      </w:pPr>
      <w:bookmarkStart w:id="0" w:name="_Toc357771638"/>
      <w:bookmarkStart w:id="1" w:name="_Toc346793416"/>
      <w:bookmarkStart w:id="2" w:name="_Toc328122777"/>
      <w:r>
        <w:rPr>
          <w:sz w:val="32"/>
          <w:szCs w:val="32"/>
        </w:rPr>
        <w:t xml:space="preserve">Pupil premium strategy statement  </w:t>
      </w:r>
      <w:r>
        <w:rPr>
          <w:sz w:val="32"/>
          <w:szCs w:val="32"/>
        </w:rPr>
        <w:tab/>
      </w:r>
    </w:p>
    <w:p w14:paraId="03A6B72F" w14:textId="77777777" w:rsidR="00FF635B" w:rsidRDefault="00A802F1">
      <w:pPr>
        <w:pStyle w:val="Heading2"/>
        <w:rPr>
          <w:sz w:val="24"/>
          <w:szCs w:val="24"/>
        </w:rPr>
      </w:pPr>
      <w:bookmarkStart w:id="3" w:name="_Toc385406061"/>
      <w:bookmarkEnd w:id="0"/>
      <w:bookmarkEnd w:id="1"/>
      <w:bookmarkEnd w:id="2"/>
      <w:r>
        <w:rPr>
          <w:sz w:val="24"/>
          <w:szCs w:val="24"/>
        </w:rPr>
        <w:t>School overview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FF635B" w14:paraId="03A6B732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0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1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FF635B" w14:paraId="03A6B735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3" w14:textId="77777777" w:rsidR="00FF635B" w:rsidRDefault="00A802F1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4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RSA Academy</w:t>
            </w:r>
          </w:p>
        </w:tc>
      </w:tr>
      <w:tr w:rsidR="00FF635B" w14:paraId="03A6B738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6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in school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7" w14:textId="77777777" w:rsidR="00FF635B" w:rsidRDefault="00A802F1">
            <w:pPr>
              <w:pStyle w:val="TableRow"/>
            </w:pPr>
            <w:r>
              <w:t>1282</w:t>
            </w:r>
          </w:p>
        </w:tc>
      </w:tr>
      <w:tr w:rsidR="00FF635B" w14:paraId="03A6B73B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9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A" w14:textId="15114DE8" w:rsidR="00FF635B" w:rsidRDefault="00A802F1">
            <w:pPr>
              <w:pStyle w:val="TableRow"/>
            </w:pPr>
            <w:r>
              <w:t>3</w:t>
            </w:r>
            <w:r w:rsidR="004E20D2">
              <w:t>9</w:t>
            </w:r>
            <w:r>
              <w:t>.</w:t>
            </w:r>
            <w:r w:rsidR="004E20D2">
              <w:t>4</w:t>
            </w:r>
            <w:r>
              <w:t>%</w:t>
            </w:r>
          </w:p>
        </w:tc>
      </w:tr>
      <w:tr w:rsidR="00FF635B" w14:paraId="03A6B73E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C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D" w14:textId="0EEDD4A2" w:rsidR="00FF635B" w:rsidRDefault="00A802F1">
            <w:pPr>
              <w:pStyle w:val="TableRow"/>
            </w:pPr>
            <w:r>
              <w:t>£</w:t>
            </w:r>
            <w:r w:rsidR="00144837">
              <w:t>3</w:t>
            </w:r>
            <w:r w:rsidR="008733F3">
              <w:t>69,325</w:t>
            </w:r>
          </w:p>
        </w:tc>
      </w:tr>
      <w:tr w:rsidR="00FF635B" w14:paraId="03A6B741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3F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0" w14:textId="43BA411E" w:rsidR="00FF635B" w:rsidRDefault="00A802F1">
            <w:pPr>
              <w:pStyle w:val="TableRow"/>
            </w:pPr>
            <w:r>
              <w:t>20</w:t>
            </w:r>
            <w:r w:rsidR="00B8006F">
              <w:t>19</w:t>
            </w:r>
            <w:r>
              <w:t>-</w:t>
            </w:r>
            <w:r w:rsidR="00B8006F">
              <w:t>20</w:t>
            </w:r>
            <w:r>
              <w:t xml:space="preserve"> / 20</w:t>
            </w:r>
            <w:r w:rsidR="00B8006F">
              <w:t>20</w:t>
            </w:r>
            <w:r>
              <w:t>-2</w:t>
            </w:r>
            <w:r w:rsidR="00B8006F">
              <w:t>1</w:t>
            </w:r>
          </w:p>
        </w:tc>
      </w:tr>
      <w:tr w:rsidR="00FF635B" w14:paraId="03A6B744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2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3" w14:textId="77777777" w:rsidR="00FF635B" w:rsidRDefault="00A802F1">
            <w:pPr>
              <w:pStyle w:val="TableRow"/>
            </w:pPr>
            <w:r>
              <w:t>September 2020</w:t>
            </w:r>
          </w:p>
        </w:tc>
      </w:tr>
      <w:tr w:rsidR="00FF635B" w14:paraId="03A6B747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5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6" w14:textId="302237F5" w:rsidR="00FF635B" w:rsidRDefault="00A802F1">
            <w:pPr>
              <w:pStyle w:val="TableRow"/>
            </w:pPr>
            <w:r>
              <w:t>January 202</w:t>
            </w:r>
            <w:r w:rsidR="00B8006F">
              <w:t>1</w:t>
            </w:r>
          </w:p>
        </w:tc>
      </w:tr>
      <w:tr w:rsidR="00FF635B" w14:paraId="03A6B74A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8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9" w14:textId="77777777" w:rsidR="00FF635B" w:rsidRDefault="00A802F1">
            <w:pPr>
              <w:pStyle w:val="TableRow"/>
            </w:pPr>
            <w:r>
              <w:t>Claire Price</w:t>
            </w:r>
          </w:p>
        </w:tc>
      </w:tr>
      <w:tr w:rsidR="00FF635B" w14:paraId="03A6B74D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B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C" w14:textId="77777777" w:rsidR="00FF635B" w:rsidRDefault="00A802F1">
            <w:pPr>
              <w:pStyle w:val="TableRow"/>
            </w:pPr>
            <w:r>
              <w:t>Owen Morgan</w:t>
            </w:r>
          </w:p>
        </w:tc>
      </w:tr>
      <w:tr w:rsidR="00FF635B" w14:paraId="03A6B750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E" w14:textId="77777777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4F" w14:textId="77777777" w:rsidR="00FF635B" w:rsidRDefault="00A802F1">
            <w:pPr>
              <w:pStyle w:val="TableRow"/>
            </w:pPr>
            <w:r>
              <w:t>Jo Goodman</w:t>
            </w:r>
          </w:p>
        </w:tc>
      </w:tr>
    </w:tbl>
    <w:p w14:paraId="03A6B751" w14:textId="0DC00E90" w:rsidR="00FF635B" w:rsidRDefault="00A802F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performance overview for last academic year</w:t>
      </w:r>
      <w:r w:rsidR="00C849FC">
        <w:rPr>
          <w:sz w:val="24"/>
          <w:szCs w:val="24"/>
        </w:rPr>
        <w:t xml:space="preserve"> (19/20)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FF635B" w14:paraId="03A6B754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2" w14:textId="77777777" w:rsidR="00FF635B" w:rsidRDefault="00A802F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3" w14:textId="04B278F1" w:rsidR="00FF635B" w:rsidRDefault="00C849FC">
            <w:pPr>
              <w:pStyle w:val="TableRow"/>
            </w:pPr>
            <w:r>
              <w:t>-0.22*</w:t>
            </w:r>
          </w:p>
        </w:tc>
      </w:tr>
      <w:tr w:rsidR="00FF635B" w14:paraId="03A6B75A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8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Attainment 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9" w14:textId="6E0CD7C6" w:rsidR="00FF635B" w:rsidRDefault="00A802F1">
            <w:pPr>
              <w:pStyle w:val="TableRow"/>
            </w:pPr>
            <w:r>
              <w:t>3</w:t>
            </w:r>
            <w:r w:rsidR="00C849FC">
              <w:t>9.61</w:t>
            </w:r>
          </w:p>
        </w:tc>
      </w:tr>
      <w:tr w:rsidR="00FF635B" w14:paraId="03A6B75D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B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Percentage of Grade 5+ in English and maths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C" w14:textId="7A8C239C" w:rsidR="00FF635B" w:rsidRDefault="004801DE">
            <w:pPr>
              <w:pStyle w:val="TableRow"/>
            </w:pPr>
            <w:r>
              <w:t>28.3%</w:t>
            </w:r>
          </w:p>
        </w:tc>
      </w:tr>
      <w:tr w:rsidR="006115FB" w14:paraId="36404267" w14:textId="7777777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2570" w14:textId="4E5C6869" w:rsidR="006115FB" w:rsidRDefault="006115FB" w:rsidP="006115FB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EBacc entry 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F87B" w14:textId="4A1E6B05" w:rsidR="006115FB" w:rsidRDefault="006115FB" w:rsidP="006115FB">
            <w:pPr>
              <w:pStyle w:val="TableRow"/>
            </w:pPr>
            <w:r>
              <w:t xml:space="preserve"> 8%</w:t>
            </w:r>
          </w:p>
        </w:tc>
      </w:tr>
      <w:tr w:rsidR="006115FB" w14:paraId="6025B4AB" w14:textId="77777777" w:rsidTr="00F61482">
        <w:trPr>
          <w:trHeight w:val="381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E714" w14:textId="69D3F0F8" w:rsidR="006115FB" w:rsidRPr="00116384" w:rsidRDefault="006115FB" w:rsidP="006115FB">
            <w:pPr>
              <w:pStyle w:val="TableRow"/>
              <w:rPr>
                <w:sz w:val="22"/>
                <w:szCs w:val="22"/>
              </w:rPr>
            </w:pPr>
            <w:r w:rsidRPr="00116384">
              <w:rPr>
                <w:sz w:val="22"/>
                <w:szCs w:val="22"/>
              </w:rPr>
              <w:t xml:space="preserve">*Progress 8 figure is based on 2019 estimates and therefore does not </w:t>
            </w:r>
            <w:proofErr w:type="gramStart"/>
            <w:r w:rsidRPr="00116384">
              <w:rPr>
                <w:sz w:val="22"/>
                <w:szCs w:val="22"/>
              </w:rPr>
              <w:t>take into account</w:t>
            </w:r>
            <w:proofErr w:type="gramEnd"/>
            <w:r w:rsidRPr="00116384">
              <w:rPr>
                <w:sz w:val="22"/>
                <w:szCs w:val="22"/>
              </w:rPr>
              <w:t xml:space="preserve"> national performance this year, which is not being published by the DfE.</w:t>
            </w:r>
          </w:p>
        </w:tc>
      </w:tr>
    </w:tbl>
    <w:p w14:paraId="03A6B75E" w14:textId="4DD679CF" w:rsidR="00FF635B" w:rsidRDefault="00A802F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Strategy aims for disadvantaged pupils</w:t>
      </w:r>
      <w:r w:rsidR="00C849FC">
        <w:rPr>
          <w:sz w:val="24"/>
          <w:szCs w:val="24"/>
        </w:rPr>
        <w:t xml:space="preserve"> (20/21)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953"/>
        <w:gridCol w:w="2994"/>
      </w:tblGrid>
      <w:tr w:rsidR="00FF635B" w14:paraId="03A6B762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5F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0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1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Target date </w:t>
            </w:r>
          </w:p>
        </w:tc>
      </w:tr>
      <w:tr w:rsidR="00FF635B" w14:paraId="03A6B766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3" w14:textId="0EBC40B9" w:rsidR="00FF635B" w:rsidRDefault="00A802F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8</w:t>
            </w:r>
            <w:r w:rsidR="004801DE">
              <w:rPr>
                <w:rFonts w:cs="Calibri"/>
                <w:sz w:val="22"/>
                <w:szCs w:val="22"/>
              </w:rPr>
              <w:t>*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4" w14:textId="36347149" w:rsidR="004801DE" w:rsidRDefault="00B90B0C" w:rsidP="004801DE">
            <w:pPr>
              <w:pStyle w:val="TableRow"/>
            </w:pPr>
            <w:r>
              <w:t>-0.22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5" w14:textId="3F14FBB1" w:rsidR="00FF635B" w:rsidRDefault="00A802F1">
            <w:pPr>
              <w:pStyle w:val="TableRow"/>
            </w:pPr>
            <w:r>
              <w:rPr>
                <w:rStyle w:val="PlaceholderText"/>
                <w:color w:val="auto"/>
              </w:rPr>
              <w:t>Sept. 2</w:t>
            </w:r>
            <w:r w:rsidR="00C849FC">
              <w:rPr>
                <w:rStyle w:val="PlaceholderText"/>
                <w:color w:val="auto"/>
              </w:rPr>
              <w:t>1</w:t>
            </w:r>
          </w:p>
        </w:tc>
      </w:tr>
      <w:tr w:rsidR="00FF635B" w14:paraId="03A6B76A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7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Attainment 8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8" w14:textId="11B9260F" w:rsidR="00FF635B" w:rsidRDefault="00A802F1">
            <w:pPr>
              <w:pStyle w:val="TableRow"/>
            </w:pPr>
            <w:r>
              <w:t>4</w:t>
            </w:r>
            <w:r w:rsidR="00B90B0C">
              <w:t>5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9" w14:textId="18ECBAD3" w:rsidR="00FF635B" w:rsidRDefault="00A802F1">
            <w:pPr>
              <w:pStyle w:val="TableRow"/>
            </w:pPr>
            <w:r>
              <w:rPr>
                <w:rStyle w:val="PlaceholderText"/>
                <w:color w:val="auto"/>
              </w:rPr>
              <w:t>Sept. 2</w:t>
            </w:r>
            <w:r w:rsidR="00C849FC">
              <w:rPr>
                <w:rStyle w:val="PlaceholderText"/>
                <w:color w:val="auto"/>
              </w:rPr>
              <w:t>1</w:t>
            </w:r>
          </w:p>
        </w:tc>
      </w:tr>
      <w:tr w:rsidR="00FF635B" w14:paraId="03A6B76E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B" w14:textId="77777777" w:rsidR="00FF635B" w:rsidRDefault="00A802F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Percentage of Grade 5+ in English and maths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C" w14:textId="5FB71C0E" w:rsidR="00FF635B" w:rsidRDefault="004801DE">
            <w:pPr>
              <w:pStyle w:val="TableRow"/>
            </w:pPr>
            <w:r>
              <w:t>30%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6D" w14:textId="2C7ECC8A" w:rsidR="00FF635B" w:rsidRDefault="00A802F1">
            <w:pPr>
              <w:pStyle w:val="TableRow"/>
            </w:pPr>
            <w:r>
              <w:rPr>
                <w:rStyle w:val="PlaceholderText"/>
                <w:color w:val="auto"/>
              </w:rPr>
              <w:t>Sept. 2</w:t>
            </w:r>
            <w:r w:rsidR="00C849FC">
              <w:rPr>
                <w:rStyle w:val="PlaceholderText"/>
                <w:color w:val="auto"/>
              </w:rPr>
              <w:t>1</w:t>
            </w:r>
          </w:p>
        </w:tc>
      </w:tr>
      <w:tr w:rsidR="00FF635B" w14:paraId="03A6B776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3" w14:textId="5123541C" w:rsidR="00FF635B" w:rsidRDefault="00A802F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90B7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acc entry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4" w14:textId="13CF1EDC" w:rsidR="00FF635B" w:rsidRDefault="00010D63" w:rsidP="004801DE">
            <w:pPr>
              <w:pStyle w:val="TableRow"/>
              <w:ind w:left="0"/>
            </w:pPr>
            <w:r>
              <w:t>13%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5" w14:textId="2F2469AF" w:rsidR="00FF635B" w:rsidRDefault="00A802F1">
            <w:pPr>
              <w:pStyle w:val="TableRow"/>
            </w:pPr>
            <w:r>
              <w:t>Sept. 2</w:t>
            </w:r>
            <w:r w:rsidR="00C849FC">
              <w:t>1</w:t>
            </w:r>
          </w:p>
        </w:tc>
      </w:tr>
      <w:tr w:rsidR="004801DE" w14:paraId="46C0BA47" w14:textId="77777777" w:rsidTr="009E7B91">
        <w:trPr>
          <w:trHeight w:val="381"/>
        </w:trPr>
        <w:tc>
          <w:tcPr>
            <w:tcW w:w="94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2E8D" w14:textId="53D9B8B9" w:rsidR="004801DE" w:rsidRDefault="004801DE">
            <w:pPr>
              <w:pStyle w:val="TableRow"/>
            </w:pPr>
            <w:r>
              <w:rPr>
                <w:sz w:val="22"/>
                <w:szCs w:val="22"/>
              </w:rPr>
              <w:t>*Progress 8 figure will be calculated for the first time using KS2 scaled scores, and therefore A8 estimates do not exist for these scores currently.</w:t>
            </w:r>
          </w:p>
        </w:tc>
      </w:tr>
    </w:tbl>
    <w:bookmarkEnd w:id="3"/>
    <w:p w14:paraId="03A6B777" w14:textId="77777777" w:rsidR="00FF635B" w:rsidRDefault="00A802F1">
      <w:pPr>
        <w:pStyle w:val="Heading1"/>
        <w:rPr>
          <w:sz w:val="24"/>
        </w:rPr>
      </w:pPr>
      <w:r>
        <w:rPr>
          <w:sz w:val="24"/>
        </w:rPr>
        <w:lastRenderedPageBreak/>
        <w:t>Teaching priorities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FF635B" w14:paraId="03A6B77A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8" w14:textId="77777777" w:rsidR="00FF635B" w:rsidRDefault="00A802F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9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FF635B" w14:paraId="03A6B77D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B" w14:textId="77777777" w:rsidR="00FF635B" w:rsidRDefault="00A802F1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C" w14:textId="498698C6" w:rsidR="00FF635B" w:rsidRDefault="00253F0F" w:rsidP="00253F0F">
            <w:pPr>
              <w:pStyle w:val="TableRow"/>
            </w:pPr>
            <w:r>
              <w:t>Implement a recovery curriculum that addresses students’ gaps in skills and knowledge.</w:t>
            </w:r>
          </w:p>
        </w:tc>
      </w:tr>
      <w:tr w:rsidR="00FF635B" w14:paraId="03A6B780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E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7F" w14:textId="67E68BEC" w:rsidR="00253F0F" w:rsidRDefault="00253F0F">
            <w:pPr>
              <w:pStyle w:val="TableRow"/>
            </w:pPr>
            <w:r>
              <w:t>Improve the quality of teaching and learning for disadvantaged students, focusing particular</w:t>
            </w:r>
            <w:r w:rsidR="005E7EC4">
              <w:t>ly</w:t>
            </w:r>
            <w:r>
              <w:t xml:space="preserve"> on improving their oracy skills and developing a r</w:t>
            </w:r>
            <w:r w:rsidR="00941869">
              <w:t xml:space="preserve">ich </w:t>
            </w:r>
            <w:r>
              <w:t>vocabulary.</w:t>
            </w:r>
          </w:p>
        </w:tc>
      </w:tr>
      <w:tr w:rsidR="00FF635B" w14:paraId="03A6B783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1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2" w14:textId="1FD917C8" w:rsidR="00FF635B" w:rsidRDefault="001C3AB1">
            <w:pPr>
              <w:pStyle w:val="TableRow"/>
            </w:pPr>
            <w:r>
              <w:t>The gaps in knowledge and skills due to the gap in school</w:t>
            </w:r>
            <w:r w:rsidR="00EB1750">
              <w:t xml:space="preserve"> from COVID-19,</w:t>
            </w:r>
          </w:p>
        </w:tc>
      </w:tr>
      <w:tr w:rsidR="00FF635B" w14:paraId="03A6B786" w14:textId="7777777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4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5" w14:textId="2A27E095" w:rsidR="00FF635B" w:rsidRDefault="000F7FA8">
            <w:pPr>
              <w:pStyle w:val="TableRow"/>
            </w:pPr>
            <w:r>
              <w:t>£9</w:t>
            </w:r>
            <w:r w:rsidR="009731F8">
              <w:t>2331</w:t>
            </w:r>
          </w:p>
        </w:tc>
      </w:tr>
    </w:tbl>
    <w:p w14:paraId="03A6B787" w14:textId="77777777" w:rsidR="00FF635B" w:rsidRDefault="00A802F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Targeted academic support for current academic year</w:t>
      </w:r>
    </w:p>
    <w:tbl>
      <w:tblPr>
        <w:tblW w:w="123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954"/>
        <w:gridCol w:w="2835"/>
      </w:tblGrid>
      <w:tr w:rsidR="00FF635B" w14:paraId="03A6B78A" w14:textId="77777777" w:rsidTr="00444833">
        <w:trPr>
          <w:gridAfter w:val="1"/>
          <w:wAfter w:w="2835" w:type="dxa"/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8" w14:textId="77777777" w:rsidR="00FF635B" w:rsidRDefault="00A802F1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9" w14:textId="77777777" w:rsidR="00FF635B" w:rsidRDefault="00A802F1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FF635B" w14:paraId="03A6B78D" w14:textId="77777777" w:rsidTr="00444833">
        <w:trPr>
          <w:gridAfter w:val="1"/>
          <w:wAfter w:w="2835" w:type="dxa"/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B" w14:textId="77777777" w:rsidR="00FF635B" w:rsidRDefault="00A802F1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C" w14:textId="22356256" w:rsidR="00FF635B" w:rsidRDefault="008E4366">
            <w:pPr>
              <w:pStyle w:val="TableRow"/>
            </w:pPr>
            <w:r>
              <w:t>Embed t</w:t>
            </w:r>
            <w:r w:rsidR="00035B33">
              <w:t>argeted reading interventions</w:t>
            </w:r>
            <w:r w:rsidR="00AA03D7">
              <w:t xml:space="preserve"> (Accelerated Reader)</w:t>
            </w:r>
            <w:r w:rsidR="00035B33">
              <w:t xml:space="preserve"> to develop reading skills</w:t>
            </w:r>
            <w:r w:rsidR="00A77130">
              <w:t xml:space="preserve"> </w:t>
            </w:r>
            <w:r>
              <w:t xml:space="preserve">for disadvantaged students </w:t>
            </w:r>
            <w:r w:rsidR="00A77130">
              <w:t>in KS3</w:t>
            </w:r>
            <w:r w:rsidR="00AA03D7">
              <w:t>.</w:t>
            </w:r>
          </w:p>
        </w:tc>
      </w:tr>
      <w:tr w:rsidR="00444833" w14:paraId="03A6B790" w14:textId="74ADA26B" w:rsidTr="0044483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E" w14:textId="77777777" w:rsidR="00444833" w:rsidRDefault="00444833" w:rsidP="00444833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8F" w14:textId="2170657D" w:rsidR="00444833" w:rsidRDefault="008050DC" w:rsidP="00444833">
            <w:pPr>
              <w:pStyle w:val="TableRow"/>
            </w:pPr>
            <w:r>
              <w:t xml:space="preserve">Conduct </w:t>
            </w:r>
            <w:r w:rsidR="00444833">
              <w:t>PASS survey with all students to identify wider needs (attitude to learning, school, homework, ability to self</w:t>
            </w:r>
            <w:r w:rsidR="00826E69">
              <w:t>-</w:t>
            </w:r>
            <w:r w:rsidR="00444833">
              <w:t>regulate) to inform intervention and support</w:t>
            </w:r>
          </w:p>
        </w:tc>
        <w:tc>
          <w:tcPr>
            <w:tcW w:w="2835" w:type="dxa"/>
          </w:tcPr>
          <w:p w14:paraId="443CDB22" w14:textId="57DC70A8" w:rsidR="00444833" w:rsidRDefault="00444833" w:rsidP="00444833">
            <w:pPr>
              <w:suppressAutoHyphens w:val="0"/>
              <w:spacing w:after="0" w:line="240" w:lineRule="auto"/>
            </w:pPr>
            <w:r>
              <w:t>.</w:t>
            </w:r>
          </w:p>
        </w:tc>
      </w:tr>
      <w:tr w:rsidR="00444833" w14:paraId="03A6B793" w14:textId="77777777" w:rsidTr="00444833">
        <w:trPr>
          <w:gridAfter w:val="1"/>
          <w:wAfter w:w="2835" w:type="dxa"/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1" w14:textId="77777777" w:rsidR="00444833" w:rsidRDefault="00444833" w:rsidP="00444833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FDB4" w14:textId="77777777" w:rsidR="00444833" w:rsidRDefault="00444833" w:rsidP="00444833">
            <w:pPr>
              <w:pStyle w:val="TableRow"/>
            </w:pPr>
            <w:r>
              <w:t xml:space="preserve">Poor reading skills that is </w:t>
            </w:r>
            <w:r w:rsidR="00826E69">
              <w:t xml:space="preserve">a </w:t>
            </w:r>
            <w:r>
              <w:t xml:space="preserve">barrier to </w:t>
            </w:r>
            <w:r w:rsidR="00826E69">
              <w:t xml:space="preserve">students’ </w:t>
            </w:r>
            <w:r>
              <w:t>progress</w:t>
            </w:r>
            <w:r w:rsidR="00826E69">
              <w:t>.</w:t>
            </w:r>
          </w:p>
          <w:p w14:paraId="03A6B792" w14:textId="15855B9A" w:rsidR="00826E69" w:rsidRDefault="003C6988" w:rsidP="00444833">
            <w:pPr>
              <w:pStyle w:val="TableRow"/>
            </w:pPr>
            <w:r>
              <w:t xml:space="preserve">Low self-esteem and resilience </w:t>
            </w:r>
            <w:r w:rsidR="00136767">
              <w:t>impacts on students’ confidence to access learning.</w:t>
            </w:r>
          </w:p>
        </w:tc>
      </w:tr>
      <w:tr w:rsidR="00444833" w14:paraId="03A6B796" w14:textId="77777777" w:rsidTr="00444833">
        <w:trPr>
          <w:gridAfter w:val="1"/>
          <w:wAfter w:w="2835" w:type="dxa"/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4" w14:textId="77777777" w:rsidR="00444833" w:rsidRDefault="00444833" w:rsidP="00444833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5" w14:textId="764A47CE" w:rsidR="00444833" w:rsidRDefault="00444833" w:rsidP="00444833">
            <w:pPr>
              <w:pStyle w:val="TableRow"/>
            </w:pPr>
            <w:r>
              <w:t>£18</w:t>
            </w:r>
            <w:r w:rsidR="009731F8">
              <w:t>4</w:t>
            </w:r>
            <w:r>
              <w:t>,</w:t>
            </w:r>
            <w:r w:rsidR="009731F8">
              <w:t>663</w:t>
            </w:r>
          </w:p>
        </w:tc>
      </w:tr>
    </w:tbl>
    <w:p w14:paraId="03A6B797" w14:textId="77777777" w:rsidR="00FF635B" w:rsidRDefault="00A802F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Wider strategies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FF635B" w14:paraId="03A6B79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8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9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FF635B" w14:paraId="03A6B79D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9B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C" w14:textId="628E12C0" w:rsidR="00FF635B" w:rsidRDefault="00136767">
            <w:pPr>
              <w:pStyle w:val="TableRow"/>
            </w:pPr>
            <w:r>
              <w:t xml:space="preserve">Improve the attendance of disadvantaged students </w:t>
            </w:r>
            <w:r w:rsidR="00652811">
              <w:t>Improve the learning hab</w:t>
            </w:r>
            <w:r w:rsidR="00202111">
              <w:t>its of students</w:t>
            </w:r>
          </w:p>
        </w:tc>
      </w:tr>
      <w:tr w:rsidR="00FF635B" w14:paraId="03A6B7A0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9E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9F" w14:textId="50AC3419" w:rsidR="00FF635B" w:rsidRDefault="00572ACB">
            <w:pPr>
              <w:pStyle w:val="TableRow"/>
            </w:pPr>
            <w:r>
              <w:t>Identify the barriers to parental engagement at parent events</w:t>
            </w:r>
            <w:r w:rsidR="00996024">
              <w:t xml:space="preserve"> and m</w:t>
            </w:r>
            <w:r w:rsidR="00B638F7">
              <w:t xml:space="preserve">odify the accessibility </w:t>
            </w:r>
            <w:r>
              <w:t xml:space="preserve">including </w:t>
            </w:r>
            <w:r w:rsidR="00996024">
              <w:t xml:space="preserve">opportunities for </w:t>
            </w:r>
            <w:r>
              <w:t>online</w:t>
            </w:r>
            <w:r w:rsidR="001D1EE9">
              <w:t xml:space="preserve"> and remote engagement,</w:t>
            </w:r>
          </w:p>
        </w:tc>
      </w:tr>
      <w:tr w:rsidR="00FF635B" w14:paraId="03A6B7A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A1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A2" w14:textId="3267BAB0" w:rsidR="00FF635B" w:rsidRDefault="00C92BFF">
            <w:pPr>
              <w:pStyle w:val="TableRow"/>
            </w:pPr>
            <w:r>
              <w:t xml:space="preserve">Low parental engagement </w:t>
            </w:r>
            <w:r w:rsidR="00B466D0">
              <w:t>in their students’ learning results in lower</w:t>
            </w:r>
            <w:r>
              <w:t xml:space="preserve"> school attendance and for disadvantaged students.</w:t>
            </w:r>
          </w:p>
        </w:tc>
      </w:tr>
      <w:tr w:rsidR="00FF635B" w14:paraId="03A6B7A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A4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A5" w14:textId="4C643D34" w:rsidR="00FF635B" w:rsidRDefault="000F7FA8">
            <w:pPr>
              <w:pStyle w:val="TableRow"/>
            </w:pPr>
            <w:r>
              <w:t>£</w:t>
            </w:r>
            <w:r w:rsidR="009731F8">
              <w:t>92331</w:t>
            </w:r>
          </w:p>
        </w:tc>
      </w:tr>
    </w:tbl>
    <w:p w14:paraId="073C6389" w14:textId="77777777" w:rsidR="00010D63" w:rsidRDefault="00010D63">
      <w:pPr>
        <w:pStyle w:val="Heading2"/>
        <w:rPr>
          <w:sz w:val="24"/>
          <w:szCs w:val="24"/>
        </w:rPr>
      </w:pPr>
    </w:p>
    <w:p w14:paraId="05153071" w14:textId="77777777" w:rsidR="00010D63" w:rsidRDefault="00010D63">
      <w:pPr>
        <w:pStyle w:val="Heading2"/>
        <w:rPr>
          <w:sz w:val="24"/>
          <w:szCs w:val="24"/>
        </w:rPr>
      </w:pPr>
    </w:p>
    <w:p w14:paraId="2B1E79E2" w14:textId="77777777" w:rsidR="00010D63" w:rsidRDefault="00010D63">
      <w:pPr>
        <w:suppressAutoHyphens w:val="0"/>
        <w:spacing w:after="0" w:line="240" w:lineRule="auto"/>
        <w:rPr>
          <w:b/>
          <w:color w:val="104F75"/>
        </w:rPr>
      </w:pPr>
      <w:r>
        <w:br w:type="page"/>
      </w:r>
    </w:p>
    <w:p w14:paraId="03A6B7A7" w14:textId="1C029BC4" w:rsidR="00FF635B" w:rsidRDefault="00A802F1">
      <w:pPr>
        <w:pStyle w:val="Heading2"/>
      </w:pPr>
      <w:r>
        <w:rPr>
          <w:sz w:val="24"/>
          <w:szCs w:val="24"/>
        </w:rPr>
        <w:lastRenderedPageBreak/>
        <w:t>Monitoring and implementation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828"/>
      </w:tblGrid>
      <w:tr w:rsidR="00FF635B" w14:paraId="03A6B7A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A8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A9" w14:textId="77777777" w:rsidR="00FF635B" w:rsidRDefault="00A802F1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AA" w14:textId="77777777" w:rsidR="00FF635B" w:rsidRDefault="00A802F1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Mitigating action</w:t>
            </w:r>
          </w:p>
        </w:tc>
      </w:tr>
      <w:tr w:rsidR="00FF635B" w14:paraId="03A6B7A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AC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4209" w14:textId="77777777" w:rsidR="00FF635B" w:rsidRDefault="00086ACA">
            <w:pPr>
              <w:pStyle w:val="TableRow"/>
            </w:pPr>
            <w:r>
              <w:t>Ensuring that enough time is given to the</w:t>
            </w:r>
            <w:r w:rsidR="00175120">
              <w:t xml:space="preserve"> professional development of staff to</w:t>
            </w:r>
            <w:r>
              <w:t xml:space="preserve"> develop</w:t>
            </w:r>
            <w:r w:rsidR="00175120">
              <w:t xml:space="preserve"> of oracy skills in the classroom.</w:t>
            </w:r>
          </w:p>
          <w:p w14:paraId="03A6B7AD" w14:textId="12529B58" w:rsidR="00297A3C" w:rsidRDefault="00297A3C">
            <w:pPr>
              <w:pStyle w:val="TableRow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AE" w14:textId="1A1B7E5B" w:rsidR="00FF635B" w:rsidRDefault="00A5705F">
            <w:pPr>
              <w:pStyle w:val="TableRow"/>
            </w:pPr>
            <w:r>
              <w:t>Oracy development made a high priority in the teaching and learning strat</w:t>
            </w:r>
            <w:r w:rsidR="0045344A">
              <w:t xml:space="preserve">egy and protected time for staff professional development. </w:t>
            </w:r>
          </w:p>
        </w:tc>
      </w:tr>
      <w:tr w:rsidR="00FF635B" w14:paraId="03A6B7B3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B0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1" w14:textId="01E7EE3F" w:rsidR="00FF635B" w:rsidRDefault="004D5981">
            <w:pPr>
              <w:pStyle w:val="TableRow"/>
            </w:pPr>
            <w:r>
              <w:t xml:space="preserve">Time for staff to deliver </w:t>
            </w:r>
            <w:r w:rsidR="00226341">
              <w:t>targeted reading intervention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2" w14:textId="75A85891" w:rsidR="00FF635B" w:rsidRDefault="005612AD">
            <w:pPr>
              <w:pStyle w:val="TableRow"/>
            </w:pPr>
            <w:r>
              <w:t>Assistant Principal and librarian assigned time to</w:t>
            </w:r>
            <w:r w:rsidR="00E051DA">
              <w:t xml:space="preserve"> plan and deliver intervention </w:t>
            </w:r>
          </w:p>
        </w:tc>
      </w:tr>
      <w:tr w:rsidR="00FF635B" w14:paraId="03A6B7B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7B4" w14:textId="77777777" w:rsidR="00FF635B" w:rsidRDefault="00A802F1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5" w14:textId="6FE318A2" w:rsidR="00FF635B" w:rsidRDefault="00C720C0">
            <w:pPr>
              <w:pStyle w:val="TableRow"/>
            </w:pPr>
            <w:r>
              <w:t xml:space="preserve">Engaging families </w:t>
            </w:r>
            <w:r w:rsidR="003706F0">
              <w:t>facing the most challenging circumstances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6" w14:textId="58CA5860" w:rsidR="00FF635B" w:rsidRDefault="003706F0">
            <w:pPr>
              <w:pStyle w:val="TableRow"/>
            </w:pPr>
            <w:r>
              <w:t>Working with wider agencies</w:t>
            </w:r>
            <w:r w:rsidR="00DA6D73">
              <w:t xml:space="preserve"> to engage in outreach work. Dedicated personal in school to engage families. </w:t>
            </w:r>
          </w:p>
        </w:tc>
      </w:tr>
    </w:tbl>
    <w:p w14:paraId="03A6B7B8" w14:textId="77777777" w:rsidR="00FF635B" w:rsidRDefault="00A802F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Review: last year’s aims and outcomes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FF635B" w14:paraId="03A6B7BB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9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A" w14:textId="77777777" w:rsidR="00FF635B" w:rsidRDefault="00A802F1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0A31FF" w14:paraId="03A6B7BE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C" w14:textId="067F44C7" w:rsidR="000A31FF" w:rsidRDefault="000A31FF" w:rsidP="000A31FF">
            <w:pPr>
              <w:pStyle w:val="TableRow"/>
            </w:pPr>
            <w:r>
              <w:rPr>
                <w:rStyle w:val="normaltextrun"/>
                <w:rFonts w:cs="Arial"/>
                <w:sz w:val="22"/>
                <w:szCs w:val="22"/>
              </w:rPr>
              <w:t>Progress 8</w:t>
            </w:r>
            <w:r w:rsidR="00B03090">
              <w:rPr>
                <w:rStyle w:val="normaltextrun"/>
                <w:rFonts w:cs="Arial"/>
                <w:sz w:val="22"/>
                <w:szCs w:val="22"/>
              </w:rPr>
              <w:t xml:space="preserve"> (-0.5)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D" w14:textId="49D47087" w:rsidR="000A31FF" w:rsidRDefault="00C66DBB" w:rsidP="000A31FF">
            <w:pPr>
              <w:pStyle w:val="TableRow"/>
            </w:pPr>
            <w:r>
              <w:t xml:space="preserve">Achieved at </w:t>
            </w:r>
            <w:r w:rsidR="00B03090">
              <w:t>-0.22</w:t>
            </w:r>
            <w:r w:rsidR="008F7230">
              <w:t>, this was 0.28 above the target</w:t>
            </w:r>
          </w:p>
        </w:tc>
      </w:tr>
      <w:tr w:rsidR="000A31FF" w14:paraId="03A6B7C1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BF" w14:textId="47CF5BAF" w:rsidR="000A31FF" w:rsidRDefault="000A31FF" w:rsidP="000A31FF">
            <w:pPr>
              <w:pStyle w:val="TableRow"/>
            </w:pPr>
            <w:r>
              <w:rPr>
                <w:rStyle w:val="normaltextrun"/>
                <w:rFonts w:cs="Arial"/>
                <w:sz w:val="22"/>
                <w:szCs w:val="22"/>
              </w:rPr>
              <w:t>Attainment 8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  <w:r w:rsidR="00B03090">
              <w:rPr>
                <w:rStyle w:val="eop"/>
                <w:rFonts w:cs="Arial"/>
                <w:sz w:val="22"/>
                <w:szCs w:val="22"/>
              </w:rPr>
              <w:t>(41.67)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C0" w14:textId="38194C9F" w:rsidR="000A31FF" w:rsidRDefault="00865DCE" w:rsidP="000A31FF">
            <w:pPr>
              <w:pStyle w:val="TableRow"/>
            </w:pPr>
            <w:r>
              <w:t xml:space="preserve">Not achieved at 39.61, this was </w:t>
            </w:r>
            <w:r w:rsidR="00AA45D2">
              <w:t>2.06 below the target</w:t>
            </w:r>
          </w:p>
        </w:tc>
      </w:tr>
      <w:tr w:rsidR="000A31FF" w14:paraId="03A6B7C4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C2" w14:textId="117B8FCE" w:rsidR="000A31FF" w:rsidRDefault="000A31FF" w:rsidP="000A31FF">
            <w:pPr>
              <w:pStyle w:val="TableRow"/>
            </w:pPr>
            <w:r>
              <w:rPr>
                <w:rStyle w:val="normaltextrun"/>
                <w:rFonts w:cs="Arial"/>
                <w:sz w:val="22"/>
                <w:szCs w:val="22"/>
              </w:rPr>
              <w:t>Percentage of Grade 5+ in English and maths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  <w:r w:rsidR="00B03090">
              <w:rPr>
                <w:rStyle w:val="eop"/>
                <w:rFonts w:cs="Arial"/>
                <w:sz w:val="22"/>
                <w:szCs w:val="22"/>
              </w:rPr>
              <w:t>(21%)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C3" w14:textId="7D3C12B4" w:rsidR="000A31FF" w:rsidRDefault="00AA45D2" w:rsidP="000A31FF">
            <w:pPr>
              <w:pStyle w:val="TableRow"/>
            </w:pPr>
            <w:r>
              <w:t xml:space="preserve">Achieved at </w:t>
            </w:r>
            <w:r w:rsidR="00B03090">
              <w:t>28.3%</w:t>
            </w:r>
            <w:r w:rsidR="00DD41D5">
              <w:t>,</w:t>
            </w:r>
            <w:r>
              <w:t xml:space="preserve"> this was </w:t>
            </w:r>
            <w:r w:rsidR="00DD41D5">
              <w:t>7.3% above the target</w:t>
            </w:r>
          </w:p>
        </w:tc>
      </w:tr>
      <w:tr w:rsidR="000A31FF" w14:paraId="03A6B7C7" w14:textId="77777777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C5" w14:textId="7693B6F7" w:rsidR="000A31FF" w:rsidRDefault="00B03090" w:rsidP="000A31FF">
            <w:pPr>
              <w:pStyle w:val="TableRow"/>
            </w:pPr>
            <w:proofErr w:type="spellStart"/>
            <w:r>
              <w:rPr>
                <w:rStyle w:val="normaltextrun"/>
                <w:rFonts w:cs="Arial"/>
                <w:sz w:val="22"/>
                <w:szCs w:val="22"/>
              </w:rPr>
              <w:t>Ebacc</w:t>
            </w:r>
            <w:proofErr w:type="spellEnd"/>
            <w:r>
              <w:rPr>
                <w:rStyle w:val="normaltextrun"/>
                <w:rFonts w:cs="Arial"/>
                <w:sz w:val="22"/>
                <w:szCs w:val="22"/>
              </w:rPr>
              <w:t> entry</w:t>
            </w:r>
            <w:r>
              <w:rPr>
                <w:rStyle w:val="eop"/>
                <w:rFonts w:cs="Arial"/>
                <w:sz w:val="22"/>
                <w:szCs w:val="22"/>
              </w:rPr>
              <w:t> (6%)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B7C6" w14:textId="4228B574" w:rsidR="000A31FF" w:rsidRDefault="00DD41D5" w:rsidP="000A31FF">
            <w:pPr>
              <w:pStyle w:val="TableRow"/>
            </w:pPr>
            <w:r>
              <w:t xml:space="preserve">Achieved at </w:t>
            </w:r>
            <w:r w:rsidR="00B03090">
              <w:t>8%</w:t>
            </w:r>
            <w:r>
              <w:t>, this was 2% higher than the target</w:t>
            </w:r>
          </w:p>
        </w:tc>
      </w:tr>
    </w:tbl>
    <w:p w14:paraId="03A6B7D7" w14:textId="77777777" w:rsidR="00FF635B" w:rsidRDefault="00FF635B">
      <w:pPr>
        <w:rPr>
          <w:b/>
          <w:color w:val="104F75"/>
        </w:rPr>
      </w:pPr>
    </w:p>
    <w:sectPr w:rsidR="00FF635B">
      <w:footerReference w:type="default" r:id="rId10"/>
      <w:pgSz w:w="11906" w:h="16838"/>
      <w:pgMar w:top="1134" w:right="1276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8D9C7" w14:textId="77777777" w:rsidR="007862F3" w:rsidRDefault="007862F3">
      <w:pPr>
        <w:spacing w:after="0" w:line="240" w:lineRule="auto"/>
      </w:pPr>
      <w:r>
        <w:separator/>
      </w:r>
    </w:p>
  </w:endnote>
  <w:endnote w:type="continuationSeparator" w:id="0">
    <w:p w14:paraId="6EAE3943" w14:textId="77777777" w:rsidR="007862F3" w:rsidRDefault="0078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B736" w14:textId="77777777" w:rsidR="00E57357" w:rsidRDefault="00A802F1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D7275" w14:textId="77777777" w:rsidR="007862F3" w:rsidRDefault="007862F3">
      <w:pPr>
        <w:spacing w:after="0" w:line="240" w:lineRule="auto"/>
      </w:pPr>
      <w:r>
        <w:separator/>
      </w:r>
    </w:p>
  </w:footnote>
  <w:footnote w:type="continuationSeparator" w:id="0">
    <w:p w14:paraId="3AD71EBB" w14:textId="77777777" w:rsidR="007862F3" w:rsidRDefault="0078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D6F"/>
    <w:multiLevelType w:val="multilevel"/>
    <w:tmpl w:val="B560BFFC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2859D6"/>
    <w:multiLevelType w:val="multilevel"/>
    <w:tmpl w:val="4C4A235E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" w15:restartNumberingAfterBreak="0">
    <w:nsid w:val="11F47284"/>
    <w:multiLevelType w:val="multilevel"/>
    <w:tmpl w:val="E42ADCB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056C5A"/>
    <w:multiLevelType w:val="multilevel"/>
    <w:tmpl w:val="F8F6795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9F303D"/>
    <w:multiLevelType w:val="multilevel"/>
    <w:tmpl w:val="992836B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732472"/>
    <w:multiLevelType w:val="multilevel"/>
    <w:tmpl w:val="ACA006B8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4242F20"/>
    <w:multiLevelType w:val="multilevel"/>
    <w:tmpl w:val="5B22A46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7F766E1"/>
    <w:multiLevelType w:val="multilevel"/>
    <w:tmpl w:val="28DE3A62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2A536BAE"/>
    <w:multiLevelType w:val="multilevel"/>
    <w:tmpl w:val="7CE4DAF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DCD560C"/>
    <w:multiLevelType w:val="multilevel"/>
    <w:tmpl w:val="C984410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ED7F76"/>
    <w:multiLevelType w:val="multilevel"/>
    <w:tmpl w:val="5532B2C0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8052B48"/>
    <w:multiLevelType w:val="multilevel"/>
    <w:tmpl w:val="51BE478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D002DA"/>
    <w:multiLevelType w:val="multilevel"/>
    <w:tmpl w:val="0CE06B6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C062BF"/>
    <w:multiLevelType w:val="multilevel"/>
    <w:tmpl w:val="25741AEC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 w15:restartNumberingAfterBreak="0">
    <w:nsid w:val="63BB5BA7"/>
    <w:multiLevelType w:val="multilevel"/>
    <w:tmpl w:val="9BC4580E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F124E3E"/>
    <w:multiLevelType w:val="multilevel"/>
    <w:tmpl w:val="CE6A5D4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5F6E7A"/>
    <w:multiLevelType w:val="multilevel"/>
    <w:tmpl w:val="2020B77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1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0"/>
  </w:num>
  <w:num w:numId="13">
    <w:abstractNumId w:val="14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5B"/>
    <w:rsid w:val="00010D63"/>
    <w:rsid w:val="00035B33"/>
    <w:rsid w:val="000465C5"/>
    <w:rsid w:val="00061A7A"/>
    <w:rsid w:val="00086ACA"/>
    <w:rsid w:val="000A31FF"/>
    <w:rsid w:val="000F7FA8"/>
    <w:rsid w:val="00116384"/>
    <w:rsid w:val="00136767"/>
    <w:rsid w:val="00144837"/>
    <w:rsid w:val="00175120"/>
    <w:rsid w:val="001C3AB1"/>
    <w:rsid w:val="001D1EE9"/>
    <w:rsid w:val="00202111"/>
    <w:rsid w:val="00213201"/>
    <w:rsid w:val="00226341"/>
    <w:rsid w:val="00253F0F"/>
    <w:rsid w:val="00273A6B"/>
    <w:rsid w:val="00297A3C"/>
    <w:rsid w:val="00332898"/>
    <w:rsid w:val="00350F33"/>
    <w:rsid w:val="003706F0"/>
    <w:rsid w:val="003C4126"/>
    <w:rsid w:val="003C6988"/>
    <w:rsid w:val="003F39EA"/>
    <w:rsid w:val="00444833"/>
    <w:rsid w:val="0044777E"/>
    <w:rsid w:val="0045344A"/>
    <w:rsid w:val="004801DE"/>
    <w:rsid w:val="004C139F"/>
    <w:rsid w:val="004D5981"/>
    <w:rsid w:val="004E20D2"/>
    <w:rsid w:val="005612AD"/>
    <w:rsid w:val="00572ACB"/>
    <w:rsid w:val="005D58EF"/>
    <w:rsid w:val="005E7EC4"/>
    <w:rsid w:val="006115FB"/>
    <w:rsid w:val="00652811"/>
    <w:rsid w:val="0066555F"/>
    <w:rsid w:val="0069755F"/>
    <w:rsid w:val="007208A1"/>
    <w:rsid w:val="007831A6"/>
    <w:rsid w:val="007862F3"/>
    <w:rsid w:val="007B2F4F"/>
    <w:rsid w:val="008050DC"/>
    <w:rsid w:val="008243BB"/>
    <w:rsid w:val="00826E69"/>
    <w:rsid w:val="008605A0"/>
    <w:rsid w:val="00863790"/>
    <w:rsid w:val="00865DCE"/>
    <w:rsid w:val="008733F3"/>
    <w:rsid w:val="008E4366"/>
    <w:rsid w:val="008F7230"/>
    <w:rsid w:val="00924E86"/>
    <w:rsid w:val="00941869"/>
    <w:rsid w:val="009731F8"/>
    <w:rsid w:val="00990B75"/>
    <w:rsid w:val="00996024"/>
    <w:rsid w:val="009E3D52"/>
    <w:rsid w:val="00A35AB4"/>
    <w:rsid w:val="00A5705F"/>
    <w:rsid w:val="00A77130"/>
    <w:rsid w:val="00A802F1"/>
    <w:rsid w:val="00A93175"/>
    <w:rsid w:val="00AA0041"/>
    <w:rsid w:val="00AA03D7"/>
    <w:rsid w:val="00AA45D2"/>
    <w:rsid w:val="00AE038D"/>
    <w:rsid w:val="00B03090"/>
    <w:rsid w:val="00B4131E"/>
    <w:rsid w:val="00B466D0"/>
    <w:rsid w:val="00B50A20"/>
    <w:rsid w:val="00B638F7"/>
    <w:rsid w:val="00B8006F"/>
    <w:rsid w:val="00B90B0C"/>
    <w:rsid w:val="00C66DBB"/>
    <w:rsid w:val="00C720C0"/>
    <w:rsid w:val="00C849FC"/>
    <w:rsid w:val="00C92BFF"/>
    <w:rsid w:val="00CA337E"/>
    <w:rsid w:val="00D84E1A"/>
    <w:rsid w:val="00DA6D73"/>
    <w:rsid w:val="00DD41D5"/>
    <w:rsid w:val="00DE494E"/>
    <w:rsid w:val="00E051DA"/>
    <w:rsid w:val="00E32912"/>
    <w:rsid w:val="00EB0D7F"/>
    <w:rsid w:val="00EB1750"/>
    <w:rsid w:val="00EB25F6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B72E"/>
  <w15:docId w15:val="{526F4D5C-88B9-4871-BE3F-C88EB60A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2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11"/>
      </w:numPr>
    </w:pPr>
  </w:style>
  <w:style w:type="paragraph" w:styleId="ListParagraph">
    <w:name w:val="List Paragraph"/>
    <w:basedOn w:val="Normal"/>
    <w:pPr>
      <w:numPr>
        <w:numId w:val="15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10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3"/>
      </w:numPr>
      <w:tabs>
        <w:tab w:val="left" w:pos="-4010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4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6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7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4">
    <w:name w:val="LFO4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9">
    <w:name w:val="LFO9"/>
    <w:basedOn w:val="NoList"/>
    <w:pPr>
      <w:numPr>
        <w:numId w:val="13"/>
      </w:numPr>
    </w:pPr>
  </w:style>
  <w:style w:type="numbering" w:customStyle="1" w:styleId="LFO10">
    <w:name w:val="LFO10"/>
    <w:basedOn w:val="NoList"/>
    <w:pPr>
      <w:numPr>
        <w:numId w:val="14"/>
      </w:numPr>
    </w:pPr>
  </w:style>
  <w:style w:type="numbering" w:customStyle="1" w:styleId="LFO25">
    <w:name w:val="LFO25"/>
    <w:basedOn w:val="NoList"/>
    <w:pPr>
      <w:numPr>
        <w:numId w:val="15"/>
      </w:numPr>
    </w:pPr>
  </w:style>
  <w:style w:type="numbering" w:customStyle="1" w:styleId="LFO28">
    <w:name w:val="LFO28"/>
    <w:basedOn w:val="NoList"/>
    <w:pPr>
      <w:numPr>
        <w:numId w:val="16"/>
      </w:numPr>
    </w:pPr>
  </w:style>
  <w:style w:type="numbering" w:customStyle="1" w:styleId="LFO30">
    <w:name w:val="LFO30"/>
    <w:basedOn w:val="NoList"/>
    <w:pPr>
      <w:numPr>
        <w:numId w:val="17"/>
      </w:numPr>
    </w:pPr>
  </w:style>
  <w:style w:type="character" w:customStyle="1" w:styleId="normaltextrun">
    <w:name w:val="normaltextrun"/>
    <w:basedOn w:val="DefaultParagraphFont"/>
    <w:rsid w:val="000A31FF"/>
  </w:style>
  <w:style w:type="character" w:customStyle="1" w:styleId="eop">
    <w:name w:val="eop"/>
    <w:basedOn w:val="DefaultParagraphFont"/>
    <w:rsid w:val="000A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37F8AEA652B47AA57E68788B64385" ma:contentTypeVersion="13" ma:contentTypeDescription="Create a new document." ma:contentTypeScope="" ma:versionID="4c9172ec47b0e210fc8cec1c5570460f">
  <xsd:schema xmlns:xsd="http://www.w3.org/2001/XMLSchema" xmlns:xs="http://www.w3.org/2001/XMLSchema" xmlns:p="http://schemas.microsoft.com/office/2006/metadata/properties" xmlns:ns3="fb1e2bd6-816d-4b5d-8ef8-148c8cb6269d" xmlns:ns4="99edbc63-2c32-48af-95e1-4f842bc33c1b" targetNamespace="http://schemas.microsoft.com/office/2006/metadata/properties" ma:root="true" ma:fieldsID="ac052c1bd20a7fea864d9f57ca46e41f" ns3:_="" ns4:_="">
    <xsd:import namespace="fb1e2bd6-816d-4b5d-8ef8-148c8cb6269d"/>
    <xsd:import namespace="99edbc63-2c32-48af-95e1-4f842bc33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2bd6-816d-4b5d-8ef8-148c8cb62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bc63-2c32-48af-95e1-4f842bc33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84500-1367-439D-9CDC-B9150ABBE5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1e2bd6-816d-4b5d-8ef8-148c8cb6269d"/>
    <ds:schemaRef ds:uri="99edbc63-2c32-48af-95e1-4f842bc33c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3E9DEF-558F-4C90-B68E-B35BED2F6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CDA01-4EE0-4FC8-BB5C-8A133CF9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2bd6-816d-4b5d-8ef8-148c8cb6269d"/>
    <ds:schemaRef ds:uri="99edbc63-2c32-48af-95e1-4f842bc33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/>
  <cp:lastModifiedBy>Mr O Morgan</cp:lastModifiedBy>
  <cp:revision>2</cp:revision>
  <cp:lastPrinted>2014-09-17T13:26:00Z</cp:lastPrinted>
  <dcterms:created xsi:type="dcterms:W3CDTF">2020-11-03T13:18:00Z</dcterms:created>
  <dcterms:modified xsi:type="dcterms:W3CDTF">2020-11-03T13:18:00Z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0x010100F3837F8AEA652B47AA57E68788B64385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